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BA5798" w14:textId="4A91BC75" w:rsidR="003C4B4D" w:rsidRPr="00561D10" w:rsidRDefault="003C4B4D" w:rsidP="003C4B4D">
      <w:pPr>
        <w:rPr>
          <w:rFonts w:cstheme="minorHAnsi"/>
        </w:rPr>
      </w:pPr>
      <w:r>
        <w:rPr>
          <w:rFonts w:cstheme="minorHAnsi"/>
          <w:b/>
          <w:i/>
        </w:rPr>
        <w:t>U</w:t>
      </w:r>
      <w:r w:rsidRPr="00561D10">
        <w:rPr>
          <w:rFonts w:cstheme="minorHAnsi"/>
          <w:b/>
          <w:i/>
        </w:rPr>
        <w:t xml:space="preserve">pdated by Wombourne Kayak Club </w:t>
      </w:r>
      <w:r w:rsidRPr="00B006B1">
        <w:rPr>
          <w:rFonts w:cstheme="minorHAnsi"/>
          <w:bCs/>
          <w:i/>
        </w:rPr>
        <w:t>1</w:t>
      </w:r>
      <w:r w:rsidR="00A24D1E">
        <w:rPr>
          <w:rFonts w:cstheme="minorHAnsi"/>
          <w:bCs/>
          <w:i/>
        </w:rPr>
        <w:t>2</w:t>
      </w:r>
      <w:r w:rsidRPr="00B006B1">
        <w:rPr>
          <w:rFonts w:cstheme="minorHAnsi"/>
          <w:bCs/>
        </w:rPr>
        <w:t>/</w:t>
      </w:r>
      <w:r>
        <w:rPr>
          <w:rFonts w:cstheme="minorHAnsi"/>
          <w:bCs/>
        </w:rPr>
        <w:t>07</w:t>
      </w:r>
      <w:r w:rsidRPr="00B006B1">
        <w:rPr>
          <w:rFonts w:cstheme="minorHAnsi"/>
          <w:bCs/>
        </w:rPr>
        <w:t>/2</w:t>
      </w:r>
      <w:r w:rsidR="00A24D1E">
        <w:rPr>
          <w:rFonts w:cstheme="minorHAnsi"/>
          <w:bCs/>
        </w:rPr>
        <w:t>5</w:t>
      </w:r>
      <w:r>
        <w:rPr>
          <w:rFonts w:cstheme="minorHAnsi"/>
          <w:bCs/>
        </w:rPr>
        <w:t xml:space="preserve"> by John Teuwen</w:t>
      </w:r>
    </w:p>
    <w:p w14:paraId="56A55A5A" w14:textId="77777777" w:rsidR="0064725D" w:rsidRDefault="00D71750" w:rsidP="00D71750">
      <w:pPr>
        <w:rPr>
          <w:b/>
          <w:bCs/>
          <w:sz w:val="36"/>
          <w:szCs w:val="36"/>
        </w:rPr>
      </w:pPr>
      <w:r w:rsidRPr="0064725D">
        <w:rPr>
          <w:b/>
          <w:bCs/>
          <w:sz w:val="36"/>
          <w:szCs w:val="36"/>
        </w:rPr>
        <w:t>Holding a Disciplinary Hearing</w:t>
      </w:r>
      <w:r w:rsidR="0064725D" w:rsidRPr="0064725D">
        <w:rPr>
          <w:b/>
          <w:bCs/>
          <w:sz w:val="36"/>
          <w:szCs w:val="36"/>
        </w:rPr>
        <w:t xml:space="preserve"> -</w:t>
      </w:r>
      <w:r w:rsidRPr="0064725D">
        <w:rPr>
          <w:sz w:val="36"/>
          <w:szCs w:val="36"/>
        </w:rPr>
        <w:t xml:space="preserve"> </w:t>
      </w:r>
      <w:r w:rsidRPr="0064725D">
        <w:rPr>
          <w:b/>
          <w:bCs/>
          <w:sz w:val="36"/>
          <w:szCs w:val="36"/>
        </w:rPr>
        <w:t xml:space="preserve">Guidance and Considerations </w:t>
      </w:r>
    </w:p>
    <w:p w14:paraId="53F388EC" w14:textId="6C06A99A" w:rsidR="0064725D" w:rsidRPr="0064725D" w:rsidRDefault="00D71750" w:rsidP="00D71750">
      <w:pPr>
        <w:rPr>
          <w:b/>
          <w:bCs/>
          <w:sz w:val="36"/>
          <w:szCs w:val="36"/>
        </w:rPr>
      </w:pPr>
      <w:r w:rsidRPr="0064725D">
        <w:rPr>
          <w:b/>
          <w:bCs/>
          <w:sz w:val="36"/>
          <w:szCs w:val="36"/>
        </w:rPr>
        <w:t>Stage 1</w:t>
      </w:r>
    </w:p>
    <w:p w14:paraId="5584ED00" w14:textId="77777777" w:rsidR="0064725D" w:rsidRDefault="0064725D" w:rsidP="0064725D">
      <w:pPr>
        <w:spacing w:after="0"/>
        <w:rPr>
          <w:sz w:val="24"/>
          <w:szCs w:val="24"/>
        </w:rPr>
      </w:pPr>
    </w:p>
    <w:p w14:paraId="14B0BC11" w14:textId="77777777" w:rsidR="0064725D" w:rsidRDefault="00D71750" w:rsidP="0064725D">
      <w:pPr>
        <w:spacing w:after="0"/>
        <w:rPr>
          <w:color w:val="FF0000"/>
          <w:sz w:val="24"/>
          <w:szCs w:val="24"/>
        </w:rPr>
      </w:pPr>
      <w:r w:rsidRPr="00863A99">
        <w:rPr>
          <w:sz w:val="24"/>
          <w:szCs w:val="24"/>
        </w:rPr>
        <w:t xml:space="preserve"> </w:t>
      </w:r>
      <w:r w:rsidRPr="0064725D">
        <w:rPr>
          <w:b/>
          <w:bCs/>
          <w:i/>
          <w:iCs/>
          <w:color w:val="FF0000"/>
          <w:sz w:val="24"/>
          <w:szCs w:val="24"/>
        </w:rPr>
        <w:t>Preparation for hearing</w:t>
      </w:r>
      <w:r w:rsidRPr="0064725D">
        <w:rPr>
          <w:color w:val="FF0000"/>
          <w:sz w:val="24"/>
          <w:szCs w:val="24"/>
        </w:rPr>
        <w:t xml:space="preserve"> </w:t>
      </w:r>
    </w:p>
    <w:p w14:paraId="4A71C99D" w14:textId="77777777" w:rsidR="00AE64D0" w:rsidRDefault="00AE64D0" w:rsidP="00AE64D0">
      <w:pPr>
        <w:spacing w:after="0"/>
        <w:rPr>
          <w:color w:val="FF0000"/>
          <w:sz w:val="24"/>
          <w:szCs w:val="24"/>
        </w:rPr>
      </w:pPr>
    </w:p>
    <w:p w14:paraId="32D83D7A" w14:textId="747D87F9" w:rsidR="0064725D" w:rsidRDefault="00D71750" w:rsidP="00AE64D0">
      <w:pPr>
        <w:pStyle w:val="ListParagraph"/>
        <w:numPr>
          <w:ilvl w:val="0"/>
          <w:numId w:val="1"/>
        </w:numPr>
        <w:spacing w:after="0"/>
        <w:rPr>
          <w:sz w:val="24"/>
          <w:szCs w:val="24"/>
        </w:rPr>
      </w:pPr>
      <w:r w:rsidRPr="0064725D">
        <w:rPr>
          <w:sz w:val="24"/>
          <w:szCs w:val="24"/>
        </w:rPr>
        <w:t xml:space="preserve">Once the disciplinary investigation has been completed and it has been decided in accordance with the Disciplinary Regulations that an in person or remote hearing is necessary, it is first necessary to consider who needs to attend. </w:t>
      </w:r>
    </w:p>
    <w:p w14:paraId="688B2A62" w14:textId="77777777" w:rsidR="0064725D" w:rsidRPr="0064725D" w:rsidRDefault="0064725D" w:rsidP="00AE64D0">
      <w:pPr>
        <w:spacing w:after="0"/>
        <w:rPr>
          <w:sz w:val="24"/>
          <w:szCs w:val="24"/>
        </w:rPr>
      </w:pPr>
    </w:p>
    <w:p w14:paraId="2565166B" w14:textId="53CA55D3" w:rsidR="0064725D" w:rsidRDefault="00D71750" w:rsidP="00AE64D0">
      <w:pPr>
        <w:pStyle w:val="ListParagraph"/>
        <w:numPr>
          <w:ilvl w:val="0"/>
          <w:numId w:val="1"/>
        </w:numPr>
        <w:spacing w:after="0"/>
        <w:rPr>
          <w:sz w:val="24"/>
          <w:szCs w:val="24"/>
        </w:rPr>
      </w:pPr>
      <w:r w:rsidRPr="0064725D">
        <w:rPr>
          <w:sz w:val="24"/>
          <w:szCs w:val="24"/>
        </w:rPr>
        <w:t xml:space="preserve">There will need to be a Chair, who has decision-making responsibility. In normal cases, the Panel will be made up of a further two side Panel members. It may also prove useful to have someone present who can take notes of proceedings. It might also be appropriate for the person who conducted the investigation to attend and present their evidence and findings to the Chair. </w:t>
      </w:r>
    </w:p>
    <w:p w14:paraId="5B1606F2" w14:textId="77777777" w:rsidR="0064725D" w:rsidRPr="0064725D" w:rsidRDefault="0064725D" w:rsidP="00AE64D0">
      <w:pPr>
        <w:pStyle w:val="ListParagraph"/>
        <w:spacing w:after="0"/>
        <w:rPr>
          <w:sz w:val="24"/>
          <w:szCs w:val="24"/>
        </w:rPr>
      </w:pPr>
    </w:p>
    <w:p w14:paraId="21A127E7" w14:textId="1BE313A8" w:rsidR="0064725D" w:rsidRPr="0064725D" w:rsidRDefault="00D71750" w:rsidP="00AE64D0">
      <w:pPr>
        <w:pStyle w:val="ListParagraph"/>
        <w:numPr>
          <w:ilvl w:val="0"/>
          <w:numId w:val="1"/>
        </w:numPr>
        <w:spacing w:after="0"/>
        <w:rPr>
          <w:sz w:val="24"/>
          <w:szCs w:val="24"/>
        </w:rPr>
      </w:pPr>
      <w:r w:rsidRPr="0064725D">
        <w:rPr>
          <w:sz w:val="24"/>
          <w:szCs w:val="24"/>
        </w:rPr>
        <w:t xml:space="preserve">Ensure that everyone involved, including any applicable witnesses and anyone accompanying the respondent have been notified of the time and location of the hearing and are available to attend. Ensure that the respondent is aware of who will be present at the hearing including the name of the </w:t>
      </w:r>
      <w:r w:rsidRPr="005D016B">
        <w:rPr>
          <w:b/>
          <w:bCs/>
          <w:i/>
          <w:iCs/>
          <w:sz w:val="24"/>
          <w:szCs w:val="24"/>
        </w:rPr>
        <w:t>Panel Chair</w:t>
      </w:r>
      <w:r w:rsidRPr="0064725D">
        <w:rPr>
          <w:sz w:val="24"/>
          <w:szCs w:val="24"/>
        </w:rPr>
        <w:t xml:space="preserve"> and any notetaker. </w:t>
      </w:r>
    </w:p>
    <w:p w14:paraId="1EFFE59D" w14:textId="77777777" w:rsidR="0064725D" w:rsidRDefault="0064725D" w:rsidP="00AE64D0">
      <w:pPr>
        <w:spacing w:after="0"/>
        <w:rPr>
          <w:sz w:val="24"/>
          <w:szCs w:val="24"/>
        </w:rPr>
      </w:pPr>
    </w:p>
    <w:p w14:paraId="7D716C5F" w14:textId="54F6E6C5" w:rsidR="0064725D" w:rsidRDefault="00D71750" w:rsidP="00AE64D0">
      <w:pPr>
        <w:pStyle w:val="ListParagraph"/>
        <w:numPr>
          <w:ilvl w:val="0"/>
          <w:numId w:val="1"/>
        </w:numPr>
        <w:spacing w:after="0"/>
        <w:rPr>
          <w:sz w:val="24"/>
          <w:szCs w:val="24"/>
        </w:rPr>
      </w:pPr>
      <w:r w:rsidRPr="0064725D">
        <w:rPr>
          <w:sz w:val="24"/>
          <w:szCs w:val="24"/>
        </w:rPr>
        <w:t xml:space="preserve">If the hearing will be taking place remotely, ensure that the respondent has the required access to the technology being used to conduct the hearing (and an internet connection) and that relevant hearing details have been shared with them to enable them to “log in”. </w:t>
      </w:r>
    </w:p>
    <w:p w14:paraId="431F0CE2" w14:textId="77777777" w:rsidR="0064725D" w:rsidRPr="0064725D" w:rsidRDefault="0064725D" w:rsidP="00AE64D0">
      <w:pPr>
        <w:pStyle w:val="ListParagraph"/>
        <w:spacing w:after="0"/>
        <w:rPr>
          <w:sz w:val="24"/>
          <w:szCs w:val="24"/>
        </w:rPr>
      </w:pPr>
    </w:p>
    <w:p w14:paraId="7A4E40FF" w14:textId="77777777" w:rsidR="0064725D" w:rsidRDefault="00D71750" w:rsidP="00AE64D0">
      <w:pPr>
        <w:pStyle w:val="ListParagraph"/>
        <w:numPr>
          <w:ilvl w:val="0"/>
          <w:numId w:val="1"/>
        </w:numPr>
        <w:spacing w:after="0"/>
        <w:rPr>
          <w:sz w:val="24"/>
          <w:szCs w:val="24"/>
        </w:rPr>
      </w:pPr>
      <w:r w:rsidRPr="0064725D">
        <w:rPr>
          <w:sz w:val="24"/>
          <w:szCs w:val="24"/>
        </w:rPr>
        <w:t xml:space="preserve">Ensure that the respondent has received the correspondence and accompanying documents relating to the hearing, including the evidence relevant to the allegations or charges against them. </w:t>
      </w:r>
    </w:p>
    <w:p w14:paraId="27206A2E" w14:textId="77777777" w:rsidR="0064725D" w:rsidRPr="0064725D" w:rsidRDefault="0064725D" w:rsidP="00AE64D0">
      <w:pPr>
        <w:pStyle w:val="ListParagraph"/>
        <w:spacing w:after="0"/>
        <w:rPr>
          <w:sz w:val="24"/>
          <w:szCs w:val="24"/>
        </w:rPr>
      </w:pPr>
    </w:p>
    <w:p w14:paraId="38FF58E3" w14:textId="77777777" w:rsidR="0064725D" w:rsidRDefault="00D71750" w:rsidP="00AE64D0">
      <w:pPr>
        <w:pStyle w:val="ListParagraph"/>
        <w:numPr>
          <w:ilvl w:val="0"/>
          <w:numId w:val="1"/>
        </w:numPr>
        <w:spacing w:after="0"/>
        <w:rPr>
          <w:sz w:val="24"/>
          <w:szCs w:val="24"/>
        </w:rPr>
      </w:pPr>
      <w:r w:rsidRPr="0064725D">
        <w:rPr>
          <w:sz w:val="24"/>
          <w:szCs w:val="24"/>
        </w:rPr>
        <w:t xml:space="preserve">Notwithstanding the above, there may be some limited circumstances, where it is deemed necessary and reasonable to keep the details of a complainant(s) or witness confidential. Such circumstances may include if the identity of the complainant or witness is not material to the case, there is a reasonable belief that disclosure would put the complainant or witness at risk, and/or where anonymity is required in accordance with Data Protection Legislation. Where this is the case, certain evidence or documentation provided to the respondent may be sufficiently redacted to preserve this anonymity. However, the respondent must still be provided with sufficient information to allow them to respond to the allegations against them. </w:t>
      </w:r>
    </w:p>
    <w:p w14:paraId="3701C7B2" w14:textId="77777777" w:rsidR="0064725D" w:rsidRPr="0064725D" w:rsidRDefault="0064725D" w:rsidP="00AE64D0">
      <w:pPr>
        <w:pStyle w:val="ListParagraph"/>
        <w:rPr>
          <w:sz w:val="24"/>
          <w:szCs w:val="24"/>
        </w:rPr>
      </w:pPr>
    </w:p>
    <w:p w14:paraId="664AFBBE" w14:textId="1B4DC188" w:rsidR="0064725D" w:rsidRDefault="00D71750" w:rsidP="00AE64D0">
      <w:pPr>
        <w:pStyle w:val="ListParagraph"/>
        <w:numPr>
          <w:ilvl w:val="0"/>
          <w:numId w:val="1"/>
        </w:numPr>
        <w:rPr>
          <w:sz w:val="24"/>
          <w:szCs w:val="24"/>
        </w:rPr>
      </w:pPr>
      <w:r w:rsidRPr="0064725D">
        <w:rPr>
          <w:sz w:val="24"/>
          <w:szCs w:val="24"/>
        </w:rPr>
        <w:t xml:space="preserve">Consider any requests for special adjustments that the respondent may require. If the hearing is being held remotely, consider if anyone else involved in the hearing has any disability or accessibility issue that might affect their ability to use video technology and whether any adjustments might be needed as a result. </w:t>
      </w:r>
    </w:p>
    <w:p w14:paraId="65A89AA9" w14:textId="5BA4223A" w:rsidR="00AE64D0" w:rsidRDefault="00AE64D0">
      <w:pPr>
        <w:rPr>
          <w:sz w:val="24"/>
          <w:szCs w:val="24"/>
        </w:rPr>
      </w:pPr>
      <w:r>
        <w:rPr>
          <w:sz w:val="24"/>
          <w:szCs w:val="24"/>
        </w:rPr>
        <w:br w:type="page"/>
      </w:r>
    </w:p>
    <w:p w14:paraId="42C1F64B" w14:textId="77777777" w:rsidR="0064725D" w:rsidRPr="0064725D" w:rsidRDefault="0064725D" w:rsidP="0064725D">
      <w:pPr>
        <w:pStyle w:val="ListParagraph"/>
        <w:rPr>
          <w:sz w:val="24"/>
          <w:szCs w:val="24"/>
        </w:rPr>
      </w:pPr>
    </w:p>
    <w:p w14:paraId="47395FD2" w14:textId="3F63DBB2" w:rsidR="0064725D" w:rsidRPr="00AE64D0" w:rsidRDefault="00D71750" w:rsidP="0064725D">
      <w:pPr>
        <w:spacing w:after="0"/>
        <w:rPr>
          <w:b/>
          <w:bCs/>
          <w:i/>
          <w:iCs/>
          <w:color w:val="FF0000"/>
          <w:sz w:val="24"/>
          <w:szCs w:val="24"/>
        </w:rPr>
      </w:pPr>
      <w:r w:rsidRPr="00AE64D0">
        <w:rPr>
          <w:b/>
          <w:bCs/>
          <w:i/>
          <w:iCs/>
          <w:color w:val="FF0000"/>
          <w:sz w:val="24"/>
          <w:szCs w:val="24"/>
        </w:rPr>
        <w:t>Stage 2 – Postponement or failure to attend</w:t>
      </w:r>
      <w:r w:rsidR="0064725D" w:rsidRPr="00AE64D0">
        <w:rPr>
          <w:b/>
          <w:bCs/>
          <w:i/>
          <w:iCs/>
          <w:color w:val="FF0000"/>
          <w:sz w:val="24"/>
          <w:szCs w:val="24"/>
        </w:rPr>
        <w:t>.</w:t>
      </w:r>
    </w:p>
    <w:p w14:paraId="36720591" w14:textId="77777777" w:rsidR="0064725D" w:rsidRDefault="0064725D" w:rsidP="0064725D">
      <w:pPr>
        <w:spacing w:after="0"/>
        <w:rPr>
          <w:sz w:val="24"/>
          <w:szCs w:val="24"/>
        </w:rPr>
      </w:pPr>
    </w:p>
    <w:p w14:paraId="6ECD15D1" w14:textId="77777777" w:rsidR="00AE64D0" w:rsidRPr="00AE64D0" w:rsidRDefault="00D71750" w:rsidP="00AE64D0">
      <w:pPr>
        <w:pStyle w:val="ListParagraph"/>
        <w:numPr>
          <w:ilvl w:val="0"/>
          <w:numId w:val="2"/>
        </w:numPr>
        <w:spacing w:after="0"/>
        <w:rPr>
          <w:sz w:val="24"/>
          <w:szCs w:val="24"/>
        </w:rPr>
      </w:pPr>
      <w:r w:rsidRPr="00AE64D0">
        <w:rPr>
          <w:sz w:val="24"/>
          <w:szCs w:val="24"/>
        </w:rPr>
        <w:t xml:space="preserve">If the respondent fails to attend, or seeks a last-minute postponement or adjournment, the </w:t>
      </w:r>
      <w:r w:rsidRPr="005D016B">
        <w:rPr>
          <w:b/>
          <w:bCs/>
          <w:i/>
          <w:iCs/>
          <w:sz w:val="24"/>
          <w:szCs w:val="24"/>
        </w:rPr>
        <w:t>Chair</w:t>
      </w:r>
      <w:r w:rsidRPr="00AE64D0">
        <w:rPr>
          <w:sz w:val="24"/>
          <w:szCs w:val="24"/>
        </w:rPr>
        <w:t xml:space="preserve"> will need to consider how to proceed. If unforeseeable circumstances can be evidenced (such as illness, or travel difficulties), it will usually be appropriate to reschedule for another date. </w:t>
      </w:r>
    </w:p>
    <w:p w14:paraId="20AD2D03" w14:textId="77777777" w:rsidR="00AE64D0" w:rsidRDefault="00AE64D0" w:rsidP="0064725D">
      <w:pPr>
        <w:spacing w:after="0"/>
        <w:rPr>
          <w:sz w:val="24"/>
          <w:szCs w:val="24"/>
        </w:rPr>
      </w:pPr>
    </w:p>
    <w:p w14:paraId="401CD29D" w14:textId="77777777" w:rsidR="00AE64D0" w:rsidRDefault="00D71750" w:rsidP="00AE64D0">
      <w:pPr>
        <w:pStyle w:val="ListParagraph"/>
        <w:numPr>
          <w:ilvl w:val="0"/>
          <w:numId w:val="2"/>
        </w:numPr>
        <w:spacing w:after="0"/>
        <w:rPr>
          <w:sz w:val="24"/>
          <w:szCs w:val="24"/>
        </w:rPr>
      </w:pPr>
      <w:r w:rsidRPr="00AE64D0">
        <w:rPr>
          <w:sz w:val="24"/>
          <w:szCs w:val="24"/>
        </w:rPr>
        <w:t xml:space="preserve">However, if the respondent persistently fails to attend, or is unwilling to attend without good reason, the </w:t>
      </w:r>
      <w:r w:rsidRPr="005D016B">
        <w:rPr>
          <w:b/>
          <w:bCs/>
          <w:i/>
          <w:iCs/>
          <w:sz w:val="24"/>
          <w:szCs w:val="24"/>
        </w:rPr>
        <w:t>Chair</w:t>
      </w:r>
      <w:r w:rsidRPr="00AE64D0">
        <w:rPr>
          <w:sz w:val="24"/>
          <w:szCs w:val="24"/>
        </w:rPr>
        <w:t xml:space="preserve"> may decide they can hear the evidence and take a decision fairly in the respondent’s absence or by using written submissions to be considered at a hearing in their absence. </w:t>
      </w:r>
    </w:p>
    <w:p w14:paraId="2CC8B4D7" w14:textId="77777777" w:rsidR="00AE64D0" w:rsidRPr="00AE64D0" w:rsidRDefault="00AE64D0" w:rsidP="00AE64D0">
      <w:pPr>
        <w:pStyle w:val="ListParagraph"/>
        <w:spacing w:after="0"/>
        <w:rPr>
          <w:sz w:val="24"/>
          <w:szCs w:val="24"/>
        </w:rPr>
      </w:pPr>
    </w:p>
    <w:p w14:paraId="684547AC" w14:textId="397A0A0C" w:rsidR="00AE64D0" w:rsidRPr="00AE64D0" w:rsidRDefault="00D71750" w:rsidP="00AE64D0">
      <w:pPr>
        <w:spacing w:after="0"/>
        <w:rPr>
          <w:b/>
          <w:bCs/>
          <w:i/>
          <w:iCs/>
          <w:color w:val="FF0000"/>
          <w:sz w:val="24"/>
          <w:szCs w:val="24"/>
        </w:rPr>
      </w:pPr>
      <w:r w:rsidRPr="00AE64D0">
        <w:rPr>
          <w:b/>
          <w:bCs/>
          <w:i/>
          <w:iCs/>
          <w:color w:val="FF0000"/>
          <w:sz w:val="24"/>
          <w:szCs w:val="24"/>
        </w:rPr>
        <w:t>Stage 3 – Starting the hearing</w:t>
      </w:r>
      <w:r w:rsidR="00AE64D0" w:rsidRPr="00AE64D0">
        <w:rPr>
          <w:b/>
          <w:bCs/>
          <w:i/>
          <w:iCs/>
          <w:color w:val="FF0000"/>
          <w:sz w:val="24"/>
          <w:szCs w:val="24"/>
        </w:rPr>
        <w:t>.</w:t>
      </w:r>
    </w:p>
    <w:p w14:paraId="32211046" w14:textId="77777777" w:rsidR="00AE64D0" w:rsidRDefault="00AE64D0" w:rsidP="00AE64D0">
      <w:pPr>
        <w:spacing w:after="0"/>
        <w:rPr>
          <w:sz w:val="24"/>
          <w:szCs w:val="24"/>
        </w:rPr>
      </w:pPr>
    </w:p>
    <w:p w14:paraId="1CF30720" w14:textId="77777777" w:rsidR="00AE64D0" w:rsidRDefault="00D71750" w:rsidP="00AE64D0">
      <w:pPr>
        <w:spacing w:after="0"/>
        <w:rPr>
          <w:sz w:val="24"/>
          <w:szCs w:val="24"/>
        </w:rPr>
      </w:pPr>
      <w:r w:rsidRPr="00AE64D0">
        <w:rPr>
          <w:sz w:val="24"/>
          <w:szCs w:val="24"/>
        </w:rPr>
        <w:t xml:space="preserve"> At the beginning of the hearing, the </w:t>
      </w:r>
      <w:r w:rsidRPr="005D016B">
        <w:rPr>
          <w:b/>
          <w:bCs/>
          <w:i/>
          <w:iCs/>
          <w:sz w:val="24"/>
          <w:szCs w:val="24"/>
        </w:rPr>
        <w:t>Chair</w:t>
      </w:r>
      <w:r w:rsidRPr="00AE64D0">
        <w:rPr>
          <w:sz w:val="24"/>
          <w:szCs w:val="24"/>
        </w:rPr>
        <w:t xml:space="preserve"> should: </w:t>
      </w:r>
    </w:p>
    <w:p w14:paraId="69E8119D" w14:textId="77777777" w:rsidR="00AE64D0" w:rsidRDefault="00AE64D0" w:rsidP="00AE64D0">
      <w:pPr>
        <w:spacing w:after="0"/>
        <w:rPr>
          <w:sz w:val="24"/>
          <w:szCs w:val="24"/>
        </w:rPr>
      </w:pPr>
    </w:p>
    <w:p w14:paraId="2C92CF54" w14:textId="17288FA7" w:rsidR="00AE64D0" w:rsidRDefault="00D71750" w:rsidP="00AE64D0">
      <w:pPr>
        <w:pStyle w:val="ListParagraph"/>
        <w:numPr>
          <w:ilvl w:val="0"/>
          <w:numId w:val="3"/>
        </w:numPr>
        <w:spacing w:after="0"/>
        <w:rPr>
          <w:sz w:val="24"/>
          <w:szCs w:val="24"/>
        </w:rPr>
      </w:pPr>
      <w:r w:rsidRPr="00AE64D0">
        <w:rPr>
          <w:sz w:val="24"/>
          <w:szCs w:val="24"/>
        </w:rPr>
        <w:t xml:space="preserve">Introduce the attendees and explain their role in the disciplinary process, before outlining the structure and format for the hearing. </w:t>
      </w:r>
    </w:p>
    <w:p w14:paraId="0A7B880F" w14:textId="77777777" w:rsidR="00AE64D0" w:rsidRPr="00AE64D0" w:rsidRDefault="00AE64D0" w:rsidP="00AE64D0">
      <w:pPr>
        <w:spacing w:after="0"/>
        <w:ind w:left="360"/>
        <w:rPr>
          <w:sz w:val="24"/>
          <w:szCs w:val="24"/>
        </w:rPr>
      </w:pPr>
    </w:p>
    <w:p w14:paraId="7DD559AB" w14:textId="77777777" w:rsidR="00AE64D0" w:rsidRDefault="00D71750" w:rsidP="00AE64D0">
      <w:pPr>
        <w:pStyle w:val="ListParagraph"/>
        <w:numPr>
          <w:ilvl w:val="0"/>
          <w:numId w:val="3"/>
        </w:numPr>
        <w:spacing w:after="0"/>
        <w:rPr>
          <w:sz w:val="24"/>
          <w:szCs w:val="24"/>
        </w:rPr>
      </w:pPr>
      <w:r w:rsidRPr="00AE64D0">
        <w:rPr>
          <w:sz w:val="24"/>
          <w:szCs w:val="24"/>
        </w:rPr>
        <w:t>Confirm whether the hearing will be recorded and, if it will be, seek the agreement of those individuals involved. Remind all other parties not to record the hearing and ask them to confirm that they are not doing so.</w:t>
      </w:r>
    </w:p>
    <w:p w14:paraId="7CDDF2C6" w14:textId="77777777" w:rsidR="00AE64D0" w:rsidRPr="00AE64D0" w:rsidRDefault="00AE64D0" w:rsidP="00AE64D0">
      <w:pPr>
        <w:pStyle w:val="ListParagraph"/>
        <w:rPr>
          <w:sz w:val="24"/>
          <w:szCs w:val="24"/>
        </w:rPr>
      </w:pPr>
    </w:p>
    <w:p w14:paraId="40C71A0B" w14:textId="77777777" w:rsidR="00AE64D0" w:rsidRDefault="00D71750" w:rsidP="00AE64D0">
      <w:pPr>
        <w:pStyle w:val="ListParagraph"/>
        <w:numPr>
          <w:ilvl w:val="0"/>
          <w:numId w:val="3"/>
        </w:numPr>
        <w:spacing w:after="0"/>
        <w:rPr>
          <w:sz w:val="24"/>
          <w:szCs w:val="24"/>
        </w:rPr>
      </w:pPr>
      <w:r w:rsidRPr="00AE64D0">
        <w:rPr>
          <w:sz w:val="24"/>
          <w:szCs w:val="24"/>
        </w:rPr>
        <w:t xml:space="preserve">Ensure the respondent is aware of the charges against them and understands the disciplinary procedure and the purpose of the hearing. </w:t>
      </w:r>
    </w:p>
    <w:p w14:paraId="313EE074" w14:textId="77777777" w:rsidR="00AE64D0" w:rsidRPr="00AE64D0" w:rsidRDefault="00AE64D0" w:rsidP="00AE64D0">
      <w:pPr>
        <w:pStyle w:val="ListParagraph"/>
        <w:rPr>
          <w:sz w:val="24"/>
          <w:szCs w:val="24"/>
        </w:rPr>
      </w:pPr>
    </w:p>
    <w:p w14:paraId="598CD421" w14:textId="77777777" w:rsidR="00AE64D0" w:rsidRDefault="00D71750" w:rsidP="00AE64D0">
      <w:pPr>
        <w:pStyle w:val="ListParagraph"/>
        <w:numPr>
          <w:ilvl w:val="0"/>
          <w:numId w:val="3"/>
        </w:numPr>
        <w:spacing w:after="0"/>
        <w:rPr>
          <w:sz w:val="24"/>
          <w:szCs w:val="24"/>
        </w:rPr>
      </w:pPr>
      <w:r w:rsidRPr="00AE64D0">
        <w:rPr>
          <w:sz w:val="24"/>
          <w:szCs w:val="24"/>
        </w:rPr>
        <w:t xml:space="preserve">Ensure that the respondent has received copies of any documents/evidence that will be referred to during the hearing. </w:t>
      </w:r>
    </w:p>
    <w:p w14:paraId="0AB2E170" w14:textId="77777777" w:rsidR="00AE64D0" w:rsidRPr="00AE64D0" w:rsidRDefault="00AE64D0" w:rsidP="00AE64D0">
      <w:pPr>
        <w:pStyle w:val="ListParagraph"/>
        <w:rPr>
          <w:sz w:val="24"/>
          <w:szCs w:val="24"/>
        </w:rPr>
      </w:pPr>
    </w:p>
    <w:p w14:paraId="19D7D166" w14:textId="77777777" w:rsidR="00AE64D0" w:rsidRDefault="00D71750" w:rsidP="00AE64D0">
      <w:pPr>
        <w:pStyle w:val="ListParagraph"/>
        <w:numPr>
          <w:ilvl w:val="0"/>
          <w:numId w:val="3"/>
        </w:numPr>
        <w:spacing w:after="0"/>
        <w:rPr>
          <w:sz w:val="24"/>
          <w:szCs w:val="24"/>
        </w:rPr>
      </w:pPr>
      <w:r w:rsidRPr="00AE64D0">
        <w:rPr>
          <w:sz w:val="24"/>
          <w:szCs w:val="24"/>
        </w:rPr>
        <w:t>Check if any reasonable adjustments need to be made for anyone partaking in the hearing.</w:t>
      </w:r>
    </w:p>
    <w:p w14:paraId="0788E4AA" w14:textId="77777777" w:rsidR="00AE64D0" w:rsidRPr="00AE64D0" w:rsidRDefault="00AE64D0" w:rsidP="00AE64D0">
      <w:pPr>
        <w:pStyle w:val="ListParagraph"/>
        <w:rPr>
          <w:sz w:val="24"/>
          <w:szCs w:val="24"/>
        </w:rPr>
      </w:pPr>
    </w:p>
    <w:p w14:paraId="2378C6B2" w14:textId="77777777" w:rsidR="00AE64D0" w:rsidRDefault="00D71750" w:rsidP="00AE64D0">
      <w:pPr>
        <w:pStyle w:val="ListParagraph"/>
        <w:numPr>
          <w:ilvl w:val="0"/>
          <w:numId w:val="3"/>
        </w:numPr>
        <w:spacing w:after="0"/>
        <w:rPr>
          <w:sz w:val="24"/>
          <w:szCs w:val="24"/>
        </w:rPr>
      </w:pPr>
      <w:r w:rsidRPr="00AE64D0">
        <w:rPr>
          <w:sz w:val="24"/>
          <w:szCs w:val="24"/>
        </w:rPr>
        <w:t xml:space="preserve">Discuss and confirm any minute or note-taking arrangements. If a minute taker is present, inform the respondent and whilst minutes of the hearing do not have to be agreed with the respondent, if, following the meeting, they disagree with the minutes taken, allow them to have their objections recorded in writing and attached to the minutes. </w:t>
      </w:r>
    </w:p>
    <w:p w14:paraId="6B6B61B2" w14:textId="77777777" w:rsidR="00AE64D0" w:rsidRPr="00AE64D0" w:rsidRDefault="00AE64D0" w:rsidP="00AE64D0">
      <w:pPr>
        <w:pStyle w:val="ListParagraph"/>
        <w:spacing w:after="0"/>
        <w:rPr>
          <w:sz w:val="24"/>
          <w:szCs w:val="24"/>
        </w:rPr>
      </w:pPr>
    </w:p>
    <w:p w14:paraId="3C1C8770" w14:textId="278B2310" w:rsidR="00AE64D0" w:rsidRPr="00AE64D0" w:rsidRDefault="00D71750" w:rsidP="00AE64D0">
      <w:pPr>
        <w:spacing w:after="0"/>
        <w:rPr>
          <w:b/>
          <w:bCs/>
          <w:i/>
          <w:iCs/>
          <w:color w:val="FF0000"/>
          <w:sz w:val="24"/>
          <w:szCs w:val="24"/>
        </w:rPr>
      </w:pPr>
      <w:r w:rsidRPr="00AE64D0">
        <w:rPr>
          <w:b/>
          <w:bCs/>
          <w:i/>
          <w:iCs/>
          <w:color w:val="FF0000"/>
          <w:sz w:val="24"/>
          <w:szCs w:val="24"/>
        </w:rPr>
        <w:t>Stage 4 – The Club case against the respondent</w:t>
      </w:r>
      <w:r w:rsidR="00AE64D0" w:rsidRPr="00AE64D0">
        <w:rPr>
          <w:b/>
          <w:bCs/>
          <w:i/>
          <w:iCs/>
          <w:color w:val="FF0000"/>
          <w:sz w:val="24"/>
          <w:szCs w:val="24"/>
        </w:rPr>
        <w:t>.</w:t>
      </w:r>
      <w:r w:rsidRPr="00AE64D0">
        <w:rPr>
          <w:b/>
          <w:bCs/>
          <w:i/>
          <w:iCs/>
          <w:color w:val="FF0000"/>
          <w:sz w:val="24"/>
          <w:szCs w:val="24"/>
        </w:rPr>
        <w:t xml:space="preserve"> </w:t>
      </w:r>
    </w:p>
    <w:p w14:paraId="573857BF" w14:textId="77777777" w:rsidR="00AE64D0" w:rsidRDefault="00AE64D0" w:rsidP="00AE64D0">
      <w:pPr>
        <w:spacing w:after="0"/>
        <w:ind w:left="360"/>
        <w:rPr>
          <w:sz w:val="24"/>
          <w:szCs w:val="24"/>
        </w:rPr>
      </w:pPr>
    </w:p>
    <w:p w14:paraId="5D8EF04E" w14:textId="77777777" w:rsidR="00AE64D0" w:rsidRDefault="00D71750" w:rsidP="00AE64D0">
      <w:pPr>
        <w:pStyle w:val="ListParagraph"/>
        <w:numPr>
          <w:ilvl w:val="0"/>
          <w:numId w:val="4"/>
        </w:numPr>
        <w:spacing w:after="0"/>
        <w:rPr>
          <w:sz w:val="24"/>
          <w:szCs w:val="24"/>
        </w:rPr>
      </w:pPr>
      <w:r w:rsidRPr="00AE64D0">
        <w:rPr>
          <w:sz w:val="24"/>
          <w:szCs w:val="24"/>
        </w:rPr>
        <w:t xml:space="preserve">The </w:t>
      </w:r>
      <w:r w:rsidRPr="005D016B">
        <w:rPr>
          <w:b/>
          <w:bCs/>
          <w:i/>
          <w:iCs/>
          <w:sz w:val="24"/>
          <w:szCs w:val="24"/>
        </w:rPr>
        <w:t>Chair</w:t>
      </w:r>
      <w:r w:rsidRPr="00AE64D0">
        <w:rPr>
          <w:sz w:val="24"/>
          <w:szCs w:val="24"/>
        </w:rPr>
        <w:t xml:space="preserve"> should explain in detail the allegations made against the respondent, and the evidence that the Club is relying on in support of the allegations. It is good practice to remind the respondent of the possible sanctions if the case is proved.</w:t>
      </w:r>
    </w:p>
    <w:p w14:paraId="61BBBAAF" w14:textId="77777777" w:rsidR="00AE64D0" w:rsidRDefault="00AE64D0" w:rsidP="00AE64D0">
      <w:pPr>
        <w:spacing w:after="0"/>
        <w:rPr>
          <w:sz w:val="24"/>
          <w:szCs w:val="24"/>
        </w:rPr>
      </w:pPr>
    </w:p>
    <w:p w14:paraId="7A954BA8" w14:textId="77777777" w:rsidR="00C34F75" w:rsidRDefault="00C34F75" w:rsidP="00AE64D0">
      <w:pPr>
        <w:spacing w:after="0"/>
        <w:rPr>
          <w:sz w:val="24"/>
          <w:szCs w:val="24"/>
        </w:rPr>
      </w:pPr>
    </w:p>
    <w:p w14:paraId="10E27868" w14:textId="77777777" w:rsidR="00C34F75" w:rsidRDefault="00C34F75" w:rsidP="00AE64D0">
      <w:pPr>
        <w:spacing w:after="0"/>
        <w:rPr>
          <w:sz w:val="24"/>
          <w:szCs w:val="24"/>
        </w:rPr>
      </w:pPr>
    </w:p>
    <w:p w14:paraId="252B00AD" w14:textId="77777777" w:rsidR="00C34F75" w:rsidRPr="00AE64D0" w:rsidRDefault="00C34F75" w:rsidP="00AE64D0">
      <w:pPr>
        <w:spacing w:after="0"/>
        <w:rPr>
          <w:sz w:val="24"/>
          <w:szCs w:val="24"/>
        </w:rPr>
      </w:pPr>
    </w:p>
    <w:p w14:paraId="21F7BE13" w14:textId="77777777" w:rsidR="00C34F75" w:rsidRPr="00C34F75" w:rsidRDefault="00C34F75" w:rsidP="00C34F75">
      <w:pPr>
        <w:spacing w:after="0"/>
        <w:rPr>
          <w:sz w:val="24"/>
          <w:szCs w:val="24"/>
        </w:rPr>
      </w:pPr>
    </w:p>
    <w:p w14:paraId="185B2AFA" w14:textId="77777777" w:rsidR="00C34F75" w:rsidRPr="00C34F75" w:rsidRDefault="00C34F75" w:rsidP="00C34F75">
      <w:pPr>
        <w:spacing w:after="0"/>
        <w:rPr>
          <w:sz w:val="24"/>
          <w:szCs w:val="24"/>
        </w:rPr>
      </w:pPr>
    </w:p>
    <w:p w14:paraId="440A5E1F" w14:textId="6F0CCC35" w:rsidR="00AE64D0" w:rsidRPr="00C34F75" w:rsidRDefault="00D71750" w:rsidP="00AE64D0">
      <w:pPr>
        <w:pStyle w:val="ListParagraph"/>
        <w:numPr>
          <w:ilvl w:val="0"/>
          <w:numId w:val="4"/>
        </w:numPr>
        <w:spacing w:after="0"/>
        <w:rPr>
          <w:sz w:val="24"/>
          <w:szCs w:val="24"/>
        </w:rPr>
      </w:pPr>
      <w:r w:rsidRPr="00C34F75">
        <w:rPr>
          <w:sz w:val="24"/>
          <w:szCs w:val="24"/>
        </w:rPr>
        <w:t>The evidence might be a report summarising an investigation. In such cases, it would be best for the investigator to present it and answer questions on the scope of their investigation and the evidence</w:t>
      </w:r>
      <w:r w:rsidR="00C34F75" w:rsidRPr="00C34F75">
        <w:rPr>
          <w:sz w:val="24"/>
          <w:szCs w:val="24"/>
        </w:rPr>
        <w:t xml:space="preserve"> </w:t>
      </w:r>
      <w:r w:rsidRPr="00C34F75">
        <w:rPr>
          <w:sz w:val="24"/>
          <w:szCs w:val="24"/>
        </w:rPr>
        <w:t xml:space="preserve">collected. In the alternative the </w:t>
      </w:r>
      <w:r w:rsidRPr="00C34F75">
        <w:rPr>
          <w:b/>
          <w:bCs/>
          <w:i/>
          <w:iCs/>
          <w:sz w:val="24"/>
          <w:szCs w:val="24"/>
        </w:rPr>
        <w:t>Chair</w:t>
      </w:r>
      <w:r w:rsidRPr="00C34F75">
        <w:rPr>
          <w:sz w:val="24"/>
          <w:szCs w:val="24"/>
        </w:rPr>
        <w:t xml:space="preserve"> should set out the details of the allegations and the evidence. It may be necessary or desirable for witnesses to attend to present their case. Alternatively, the Club could rely on written witness statements obtained during the investigation. </w:t>
      </w:r>
    </w:p>
    <w:p w14:paraId="3EB8A927" w14:textId="77777777" w:rsidR="00AE64D0" w:rsidRPr="00AE64D0" w:rsidRDefault="00AE64D0" w:rsidP="00AE64D0">
      <w:pPr>
        <w:spacing w:after="0"/>
        <w:rPr>
          <w:sz w:val="24"/>
          <w:szCs w:val="24"/>
        </w:rPr>
      </w:pPr>
    </w:p>
    <w:p w14:paraId="2C3CFBAD" w14:textId="674E8C09" w:rsidR="00AE64D0" w:rsidRPr="00AE64D0" w:rsidRDefault="00D71750" w:rsidP="00AE64D0">
      <w:pPr>
        <w:spacing w:after="0"/>
        <w:rPr>
          <w:b/>
          <w:bCs/>
          <w:i/>
          <w:iCs/>
          <w:color w:val="FF0000"/>
          <w:sz w:val="24"/>
          <w:szCs w:val="24"/>
        </w:rPr>
      </w:pPr>
      <w:r w:rsidRPr="00AE64D0">
        <w:rPr>
          <w:b/>
          <w:bCs/>
          <w:i/>
          <w:iCs/>
          <w:color w:val="FF0000"/>
          <w:sz w:val="24"/>
          <w:szCs w:val="24"/>
        </w:rPr>
        <w:t>Stage 5 – The Respondent’s defence</w:t>
      </w:r>
      <w:r w:rsidR="00AE64D0" w:rsidRPr="00AE64D0">
        <w:rPr>
          <w:b/>
          <w:bCs/>
          <w:i/>
          <w:iCs/>
          <w:color w:val="FF0000"/>
          <w:sz w:val="24"/>
          <w:szCs w:val="24"/>
        </w:rPr>
        <w:t>.</w:t>
      </w:r>
    </w:p>
    <w:p w14:paraId="3D616EAC" w14:textId="77777777" w:rsidR="00AE64D0" w:rsidRDefault="00AE64D0" w:rsidP="00AE64D0">
      <w:pPr>
        <w:spacing w:after="0"/>
        <w:rPr>
          <w:sz w:val="24"/>
          <w:szCs w:val="24"/>
        </w:rPr>
      </w:pPr>
    </w:p>
    <w:p w14:paraId="08424102" w14:textId="77777777" w:rsidR="005D016B" w:rsidRDefault="00D71750" w:rsidP="00AE64D0">
      <w:pPr>
        <w:pStyle w:val="ListParagraph"/>
        <w:numPr>
          <w:ilvl w:val="0"/>
          <w:numId w:val="5"/>
        </w:numPr>
        <w:spacing w:after="0"/>
        <w:rPr>
          <w:sz w:val="24"/>
          <w:szCs w:val="24"/>
        </w:rPr>
      </w:pPr>
      <w:r w:rsidRPr="005D016B">
        <w:rPr>
          <w:sz w:val="24"/>
          <w:szCs w:val="24"/>
        </w:rPr>
        <w:t xml:space="preserve">The </w:t>
      </w:r>
      <w:r w:rsidRPr="005D016B">
        <w:rPr>
          <w:b/>
          <w:bCs/>
          <w:i/>
          <w:iCs/>
          <w:sz w:val="24"/>
          <w:szCs w:val="24"/>
        </w:rPr>
        <w:t>Chair</w:t>
      </w:r>
      <w:r w:rsidRPr="005D016B">
        <w:rPr>
          <w:sz w:val="24"/>
          <w:szCs w:val="24"/>
        </w:rPr>
        <w:t xml:space="preserve"> should then ask the respondent to present their version of events and produce any evidence in support of their case. They may be provided the opportunity to call witnesses, provided that they have given advance notice that they intend to do so.</w:t>
      </w:r>
    </w:p>
    <w:p w14:paraId="4476070B" w14:textId="77777777" w:rsidR="005D016B" w:rsidRPr="005D016B" w:rsidRDefault="005D016B" w:rsidP="005D016B">
      <w:pPr>
        <w:spacing w:after="0"/>
        <w:rPr>
          <w:sz w:val="24"/>
          <w:szCs w:val="24"/>
        </w:rPr>
      </w:pPr>
    </w:p>
    <w:p w14:paraId="040865B5" w14:textId="77777777" w:rsidR="005D016B" w:rsidRDefault="00D71750" w:rsidP="00AE64D0">
      <w:pPr>
        <w:pStyle w:val="ListParagraph"/>
        <w:numPr>
          <w:ilvl w:val="0"/>
          <w:numId w:val="5"/>
        </w:numPr>
        <w:spacing w:after="0"/>
        <w:rPr>
          <w:sz w:val="24"/>
          <w:szCs w:val="24"/>
        </w:rPr>
      </w:pPr>
      <w:r w:rsidRPr="005D016B">
        <w:rPr>
          <w:sz w:val="24"/>
          <w:szCs w:val="24"/>
        </w:rPr>
        <w:t>The respondent should be able to challenge any documentary evidence or witness evidence provided by the Club. However, provided the respondent has been given an opportunity to present their version of events and challenge any evidence produced by the Club, it is generally not necessary or desirable to allow the respondent to cross-examine witnesses. To do so, can lead to witnesses being put in an uncomfortable or distressing position.</w:t>
      </w:r>
    </w:p>
    <w:p w14:paraId="51328A73" w14:textId="77777777" w:rsidR="005D016B" w:rsidRPr="005D016B" w:rsidRDefault="005D016B" w:rsidP="005D016B">
      <w:pPr>
        <w:pStyle w:val="ListParagraph"/>
        <w:rPr>
          <w:sz w:val="24"/>
          <w:szCs w:val="24"/>
        </w:rPr>
      </w:pPr>
    </w:p>
    <w:p w14:paraId="01EE73E8" w14:textId="1E7E9CC6" w:rsidR="005D016B" w:rsidRDefault="00D71750" w:rsidP="00AE64D0">
      <w:pPr>
        <w:pStyle w:val="ListParagraph"/>
        <w:numPr>
          <w:ilvl w:val="0"/>
          <w:numId w:val="5"/>
        </w:numPr>
        <w:spacing w:after="0"/>
        <w:rPr>
          <w:sz w:val="24"/>
          <w:szCs w:val="24"/>
        </w:rPr>
      </w:pPr>
      <w:r w:rsidRPr="005D016B">
        <w:rPr>
          <w:sz w:val="24"/>
          <w:szCs w:val="24"/>
        </w:rPr>
        <w:t>If the respondent presents “new” evidence, the</w:t>
      </w:r>
      <w:r w:rsidRPr="005D016B">
        <w:rPr>
          <w:b/>
          <w:bCs/>
          <w:i/>
          <w:iCs/>
          <w:sz w:val="24"/>
          <w:szCs w:val="24"/>
        </w:rPr>
        <w:t xml:space="preserve"> Chair</w:t>
      </w:r>
      <w:r w:rsidRPr="005D016B">
        <w:rPr>
          <w:sz w:val="24"/>
          <w:szCs w:val="24"/>
        </w:rPr>
        <w:t xml:space="preserve"> can consider adjourning the hearing to allow further investigation as needed (</w:t>
      </w:r>
      <w:r w:rsidR="00C34F75" w:rsidRPr="005D016B">
        <w:rPr>
          <w:sz w:val="24"/>
          <w:szCs w:val="24"/>
        </w:rPr>
        <w:t>i.e.,</w:t>
      </w:r>
      <w:r w:rsidRPr="005D016B">
        <w:rPr>
          <w:sz w:val="24"/>
          <w:szCs w:val="24"/>
        </w:rPr>
        <w:t xml:space="preserve"> checking facts or re-interviewing witnesses) and then reconvening it to allow the respondent a further right to respond. </w:t>
      </w:r>
    </w:p>
    <w:p w14:paraId="33E14281" w14:textId="77777777" w:rsidR="005D016B" w:rsidRPr="005D016B" w:rsidRDefault="005D016B" w:rsidP="005D016B">
      <w:pPr>
        <w:pStyle w:val="ListParagraph"/>
        <w:rPr>
          <w:sz w:val="24"/>
          <w:szCs w:val="24"/>
        </w:rPr>
      </w:pPr>
    </w:p>
    <w:p w14:paraId="04B717E3" w14:textId="77777777" w:rsidR="005D016B" w:rsidRDefault="00D71750" w:rsidP="00AE64D0">
      <w:pPr>
        <w:pStyle w:val="ListParagraph"/>
        <w:numPr>
          <w:ilvl w:val="0"/>
          <w:numId w:val="5"/>
        </w:numPr>
        <w:spacing w:after="0"/>
        <w:rPr>
          <w:sz w:val="24"/>
          <w:szCs w:val="24"/>
        </w:rPr>
      </w:pPr>
      <w:r w:rsidRPr="005D016B">
        <w:rPr>
          <w:sz w:val="24"/>
          <w:szCs w:val="24"/>
        </w:rPr>
        <w:t xml:space="preserve">It is important to note that the respondent may become angry or visibly distressed during the hearing. The </w:t>
      </w:r>
      <w:r w:rsidRPr="005D016B">
        <w:rPr>
          <w:b/>
          <w:bCs/>
          <w:i/>
          <w:iCs/>
          <w:sz w:val="24"/>
          <w:szCs w:val="24"/>
        </w:rPr>
        <w:t xml:space="preserve">Chair </w:t>
      </w:r>
      <w:r w:rsidRPr="005D016B">
        <w:rPr>
          <w:sz w:val="24"/>
          <w:szCs w:val="24"/>
        </w:rPr>
        <w:t xml:space="preserve">should be sensitive to this and make use of adjournments as necessary to allow the respondent to regain their composure. However, abusive or intimidatory behaviour should not be allowed and the </w:t>
      </w:r>
      <w:r w:rsidRPr="005D016B">
        <w:rPr>
          <w:b/>
          <w:bCs/>
          <w:i/>
          <w:iCs/>
          <w:sz w:val="24"/>
          <w:szCs w:val="24"/>
        </w:rPr>
        <w:t xml:space="preserve">Chair </w:t>
      </w:r>
      <w:r w:rsidRPr="005D016B">
        <w:rPr>
          <w:sz w:val="24"/>
          <w:szCs w:val="24"/>
        </w:rPr>
        <w:t xml:space="preserve">may cut short the respondent’s evidence if the behaviour becomes unacceptable disruptive. </w:t>
      </w:r>
    </w:p>
    <w:p w14:paraId="7F1C0034" w14:textId="77777777" w:rsidR="005D016B" w:rsidRPr="005D016B" w:rsidRDefault="005D016B" w:rsidP="005D016B">
      <w:pPr>
        <w:pStyle w:val="ListParagraph"/>
        <w:rPr>
          <w:b/>
          <w:bCs/>
          <w:i/>
          <w:iCs/>
          <w:color w:val="FF0000"/>
          <w:sz w:val="24"/>
          <w:szCs w:val="24"/>
        </w:rPr>
      </w:pPr>
    </w:p>
    <w:p w14:paraId="3AF05870" w14:textId="0607943B" w:rsidR="005D016B" w:rsidRPr="005D016B" w:rsidRDefault="00D71750" w:rsidP="005D016B">
      <w:pPr>
        <w:spacing w:after="0"/>
        <w:rPr>
          <w:b/>
          <w:bCs/>
          <w:i/>
          <w:iCs/>
          <w:color w:val="FF0000"/>
          <w:sz w:val="24"/>
          <w:szCs w:val="24"/>
        </w:rPr>
      </w:pPr>
      <w:r w:rsidRPr="005D016B">
        <w:rPr>
          <w:b/>
          <w:bCs/>
          <w:i/>
          <w:iCs/>
          <w:color w:val="FF0000"/>
          <w:sz w:val="24"/>
          <w:szCs w:val="24"/>
        </w:rPr>
        <w:t>Stage 6 – Summing Up &amp; Decision</w:t>
      </w:r>
      <w:r w:rsidR="005D016B">
        <w:rPr>
          <w:b/>
          <w:bCs/>
          <w:i/>
          <w:iCs/>
          <w:color w:val="FF0000"/>
          <w:sz w:val="24"/>
          <w:szCs w:val="24"/>
        </w:rPr>
        <w:t>.</w:t>
      </w:r>
    </w:p>
    <w:p w14:paraId="317D8E8A" w14:textId="77777777" w:rsidR="005D016B" w:rsidRPr="005D016B" w:rsidRDefault="005D016B" w:rsidP="005D016B">
      <w:pPr>
        <w:pStyle w:val="ListParagraph"/>
        <w:rPr>
          <w:sz w:val="24"/>
          <w:szCs w:val="24"/>
        </w:rPr>
      </w:pPr>
    </w:p>
    <w:p w14:paraId="1578EA52" w14:textId="77777777" w:rsidR="005D016B" w:rsidRDefault="00D71750" w:rsidP="00AE64D0">
      <w:pPr>
        <w:pStyle w:val="ListParagraph"/>
        <w:numPr>
          <w:ilvl w:val="0"/>
          <w:numId w:val="5"/>
        </w:numPr>
        <w:spacing w:after="0"/>
        <w:rPr>
          <w:sz w:val="24"/>
          <w:szCs w:val="24"/>
        </w:rPr>
      </w:pPr>
      <w:r w:rsidRPr="005D016B">
        <w:rPr>
          <w:sz w:val="24"/>
          <w:szCs w:val="24"/>
        </w:rPr>
        <w:t xml:space="preserve">Once the respondent has presented their case, the </w:t>
      </w:r>
      <w:r w:rsidRPr="005D016B">
        <w:rPr>
          <w:b/>
          <w:bCs/>
          <w:i/>
          <w:iCs/>
          <w:sz w:val="24"/>
          <w:szCs w:val="24"/>
        </w:rPr>
        <w:t>Chair</w:t>
      </w:r>
      <w:r w:rsidRPr="005D016B">
        <w:rPr>
          <w:sz w:val="24"/>
          <w:szCs w:val="24"/>
        </w:rPr>
        <w:t xml:space="preserve"> should summarise the information presented by each party. Both parties may be asked for any final comments they want to make at this stage. </w:t>
      </w:r>
    </w:p>
    <w:p w14:paraId="5AC212AB" w14:textId="77777777" w:rsidR="005D016B" w:rsidRPr="005D016B" w:rsidRDefault="005D016B" w:rsidP="005D016B">
      <w:pPr>
        <w:pStyle w:val="ListParagraph"/>
        <w:rPr>
          <w:sz w:val="24"/>
          <w:szCs w:val="24"/>
        </w:rPr>
      </w:pPr>
    </w:p>
    <w:p w14:paraId="73909D79" w14:textId="77777777" w:rsidR="00530A3E" w:rsidRDefault="00D71750" w:rsidP="00AE64D0">
      <w:pPr>
        <w:pStyle w:val="ListParagraph"/>
        <w:numPr>
          <w:ilvl w:val="0"/>
          <w:numId w:val="5"/>
        </w:numPr>
        <w:spacing w:after="0"/>
        <w:rPr>
          <w:sz w:val="24"/>
          <w:szCs w:val="24"/>
        </w:rPr>
      </w:pPr>
      <w:r w:rsidRPr="00530A3E">
        <w:rPr>
          <w:sz w:val="24"/>
          <w:szCs w:val="24"/>
        </w:rPr>
        <w:t xml:space="preserve">Once the hearing has concluded, the </w:t>
      </w:r>
      <w:r w:rsidRPr="00530A3E">
        <w:rPr>
          <w:b/>
          <w:bCs/>
          <w:i/>
          <w:iCs/>
          <w:sz w:val="24"/>
          <w:szCs w:val="24"/>
        </w:rPr>
        <w:t>Panel</w:t>
      </w:r>
      <w:r w:rsidRPr="00530A3E">
        <w:rPr>
          <w:sz w:val="24"/>
          <w:szCs w:val="24"/>
        </w:rPr>
        <w:t xml:space="preserve"> will usually clear the room to deliberate and determine whether, on the balance of probabilities the disciplinary charge has been proved. The decision does not have to be given immediately following the hearing and it is often preferable for the parties to be dismissed with instructions as to when the decision will be forthcoming. This enables matters discussed at the hearing to be considered properly and also may help the respondent conclude that they have been treated fairly and reasonably. Announcing the decision immediately without at least an adjournment for deliberation may suggest a predetermined outcome.</w:t>
      </w:r>
    </w:p>
    <w:p w14:paraId="0DF614C2" w14:textId="77777777" w:rsidR="00530A3E" w:rsidRPr="00530A3E" w:rsidRDefault="00530A3E" w:rsidP="00530A3E">
      <w:pPr>
        <w:pStyle w:val="ListParagraph"/>
        <w:rPr>
          <w:sz w:val="24"/>
          <w:szCs w:val="24"/>
        </w:rPr>
      </w:pPr>
    </w:p>
    <w:p w14:paraId="70A466C2" w14:textId="77777777" w:rsidR="00530A3E" w:rsidRPr="00C34F75" w:rsidRDefault="00530A3E" w:rsidP="00C34F75">
      <w:pPr>
        <w:spacing w:after="0"/>
        <w:rPr>
          <w:sz w:val="24"/>
          <w:szCs w:val="24"/>
        </w:rPr>
      </w:pPr>
    </w:p>
    <w:p w14:paraId="6E071BA8" w14:textId="77777777" w:rsidR="00530A3E" w:rsidRPr="00530A3E" w:rsidRDefault="00530A3E" w:rsidP="00530A3E">
      <w:pPr>
        <w:pStyle w:val="ListParagraph"/>
        <w:rPr>
          <w:sz w:val="24"/>
          <w:szCs w:val="24"/>
        </w:rPr>
      </w:pPr>
    </w:p>
    <w:p w14:paraId="6BE78EBC" w14:textId="77777777" w:rsidR="00530A3E" w:rsidRPr="00530A3E" w:rsidRDefault="00530A3E" w:rsidP="00530A3E">
      <w:pPr>
        <w:spacing w:after="0"/>
        <w:rPr>
          <w:sz w:val="24"/>
          <w:szCs w:val="24"/>
        </w:rPr>
      </w:pPr>
    </w:p>
    <w:p w14:paraId="02E2AABD" w14:textId="77777777" w:rsidR="00C34F75" w:rsidRPr="00C34F75" w:rsidRDefault="00C34F75" w:rsidP="00C34F75">
      <w:pPr>
        <w:spacing w:after="0"/>
        <w:rPr>
          <w:sz w:val="24"/>
          <w:szCs w:val="24"/>
        </w:rPr>
      </w:pPr>
    </w:p>
    <w:p w14:paraId="166FBFF1" w14:textId="37E5B878" w:rsidR="005D016B" w:rsidRPr="00530A3E" w:rsidRDefault="00D71750" w:rsidP="00AE64D0">
      <w:pPr>
        <w:pStyle w:val="ListParagraph"/>
        <w:numPr>
          <w:ilvl w:val="0"/>
          <w:numId w:val="5"/>
        </w:numPr>
        <w:spacing w:after="0"/>
        <w:rPr>
          <w:sz w:val="24"/>
          <w:szCs w:val="24"/>
        </w:rPr>
      </w:pPr>
      <w:r w:rsidRPr="00530A3E">
        <w:rPr>
          <w:sz w:val="24"/>
          <w:szCs w:val="24"/>
        </w:rPr>
        <w:t xml:space="preserve">If an immediate decision is reached, the hearing can be </w:t>
      </w:r>
      <w:r w:rsidR="005D016B" w:rsidRPr="00530A3E">
        <w:rPr>
          <w:sz w:val="24"/>
          <w:szCs w:val="24"/>
        </w:rPr>
        <w:t>reconvened,</w:t>
      </w:r>
      <w:r w:rsidRPr="00530A3E">
        <w:rPr>
          <w:sz w:val="24"/>
          <w:szCs w:val="24"/>
        </w:rPr>
        <w:t xml:space="preserve"> and the decision detailed to the parties’ face to face with an instruction that a written decision will follow. Any communication of the decision should be in accordance with the applicable Disciplinary Procedures/regulations.</w:t>
      </w:r>
    </w:p>
    <w:p w14:paraId="58234D0D" w14:textId="77777777" w:rsidR="005D016B" w:rsidRPr="005D016B" w:rsidRDefault="005D016B" w:rsidP="005D016B">
      <w:pPr>
        <w:pStyle w:val="ListParagraph"/>
        <w:rPr>
          <w:sz w:val="24"/>
          <w:szCs w:val="24"/>
        </w:rPr>
      </w:pPr>
    </w:p>
    <w:p w14:paraId="47784BD4" w14:textId="69179847" w:rsidR="005D016B" w:rsidRPr="00530A3E" w:rsidRDefault="00D71750" w:rsidP="005D016B">
      <w:pPr>
        <w:pStyle w:val="ListParagraph"/>
        <w:numPr>
          <w:ilvl w:val="0"/>
          <w:numId w:val="5"/>
        </w:numPr>
        <w:spacing w:after="0"/>
        <w:rPr>
          <w:sz w:val="24"/>
          <w:szCs w:val="24"/>
        </w:rPr>
      </w:pPr>
      <w:r w:rsidRPr="00530A3E">
        <w:rPr>
          <w:sz w:val="24"/>
          <w:szCs w:val="24"/>
        </w:rPr>
        <w:t xml:space="preserve">Alternatively, a written decision can be issued subsequent to the hearing in accordance with the applicable Disciplinary Procedures/regulations. The written decision should outline: </w:t>
      </w:r>
    </w:p>
    <w:p w14:paraId="7B610F76" w14:textId="77777777" w:rsidR="005D016B" w:rsidRDefault="005D016B" w:rsidP="005D016B">
      <w:pPr>
        <w:spacing w:after="0"/>
        <w:rPr>
          <w:sz w:val="24"/>
          <w:szCs w:val="24"/>
        </w:rPr>
      </w:pPr>
    </w:p>
    <w:p w14:paraId="4336BC6D" w14:textId="77777777" w:rsidR="00530A3E" w:rsidRDefault="00530A3E" w:rsidP="005D016B">
      <w:pPr>
        <w:pStyle w:val="ListParagraph"/>
        <w:numPr>
          <w:ilvl w:val="0"/>
          <w:numId w:val="7"/>
        </w:numPr>
        <w:spacing w:after="0"/>
        <w:rPr>
          <w:sz w:val="24"/>
          <w:szCs w:val="24"/>
        </w:rPr>
      </w:pPr>
      <w:r w:rsidRPr="00530A3E">
        <w:rPr>
          <w:sz w:val="24"/>
          <w:szCs w:val="24"/>
        </w:rPr>
        <w:t>T</w:t>
      </w:r>
      <w:r w:rsidR="00D71750" w:rsidRPr="00530A3E">
        <w:rPr>
          <w:sz w:val="24"/>
          <w:szCs w:val="24"/>
        </w:rPr>
        <w:t>he allegations/charges against the respondent</w:t>
      </w:r>
      <w:r w:rsidRPr="00530A3E">
        <w:rPr>
          <w:sz w:val="24"/>
          <w:szCs w:val="24"/>
        </w:rPr>
        <w:t>.</w:t>
      </w:r>
    </w:p>
    <w:p w14:paraId="43825E36" w14:textId="77777777" w:rsidR="00530A3E" w:rsidRPr="00530A3E" w:rsidRDefault="00530A3E" w:rsidP="00530A3E">
      <w:pPr>
        <w:spacing w:after="0"/>
        <w:ind w:left="360"/>
        <w:rPr>
          <w:sz w:val="24"/>
          <w:szCs w:val="24"/>
        </w:rPr>
      </w:pPr>
    </w:p>
    <w:p w14:paraId="1BAB96D2" w14:textId="77777777" w:rsidR="00530A3E" w:rsidRDefault="00530A3E" w:rsidP="005D016B">
      <w:pPr>
        <w:pStyle w:val="ListParagraph"/>
        <w:numPr>
          <w:ilvl w:val="0"/>
          <w:numId w:val="7"/>
        </w:numPr>
        <w:spacing w:after="0"/>
        <w:rPr>
          <w:sz w:val="24"/>
          <w:szCs w:val="24"/>
        </w:rPr>
      </w:pPr>
      <w:r>
        <w:rPr>
          <w:sz w:val="24"/>
          <w:szCs w:val="24"/>
        </w:rPr>
        <w:t>T</w:t>
      </w:r>
      <w:r w:rsidR="00D71750" w:rsidRPr="00530A3E">
        <w:rPr>
          <w:sz w:val="24"/>
          <w:szCs w:val="24"/>
        </w:rPr>
        <w:t>he findings in relation to each allegation/charge</w:t>
      </w:r>
      <w:r>
        <w:rPr>
          <w:sz w:val="24"/>
          <w:szCs w:val="24"/>
        </w:rPr>
        <w:t>.</w:t>
      </w:r>
    </w:p>
    <w:p w14:paraId="20C5BE86" w14:textId="77777777" w:rsidR="00530A3E" w:rsidRPr="00530A3E" w:rsidRDefault="00530A3E" w:rsidP="00530A3E">
      <w:pPr>
        <w:pStyle w:val="ListParagraph"/>
        <w:rPr>
          <w:sz w:val="24"/>
          <w:szCs w:val="24"/>
        </w:rPr>
      </w:pPr>
    </w:p>
    <w:p w14:paraId="4A33B401" w14:textId="77777777" w:rsidR="00530A3E" w:rsidRDefault="00530A3E" w:rsidP="005D016B">
      <w:pPr>
        <w:pStyle w:val="ListParagraph"/>
        <w:numPr>
          <w:ilvl w:val="0"/>
          <w:numId w:val="7"/>
        </w:numPr>
        <w:spacing w:after="0"/>
        <w:rPr>
          <w:sz w:val="24"/>
          <w:szCs w:val="24"/>
        </w:rPr>
      </w:pPr>
      <w:r>
        <w:rPr>
          <w:sz w:val="24"/>
          <w:szCs w:val="24"/>
        </w:rPr>
        <w:t>T</w:t>
      </w:r>
      <w:r w:rsidR="00D71750" w:rsidRPr="00530A3E">
        <w:rPr>
          <w:sz w:val="24"/>
          <w:szCs w:val="24"/>
        </w:rPr>
        <w:t>he reasons for the decision</w:t>
      </w:r>
      <w:r>
        <w:rPr>
          <w:sz w:val="24"/>
          <w:szCs w:val="24"/>
        </w:rPr>
        <w:t>.</w:t>
      </w:r>
    </w:p>
    <w:p w14:paraId="3C8D58D0" w14:textId="77777777" w:rsidR="00530A3E" w:rsidRPr="00530A3E" w:rsidRDefault="00530A3E" w:rsidP="00530A3E">
      <w:pPr>
        <w:pStyle w:val="ListParagraph"/>
        <w:rPr>
          <w:sz w:val="24"/>
          <w:szCs w:val="24"/>
        </w:rPr>
      </w:pPr>
    </w:p>
    <w:p w14:paraId="345920D7" w14:textId="5AAB273C" w:rsidR="00530A3E" w:rsidRDefault="00530A3E" w:rsidP="005D016B">
      <w:pPr>
        <w:pStyle w:val="ListParagraph"/>
        <w:numPr>
          <w:ilvl w:val="0"/>
          <w:numId w:val="7"/>
        </w:numPr>
        <w:spacing w:after="0"/>
        <w:rPr>
          <w:sz w:val="24"/>
          <w:szCs w:val="24"/>
        </w:rPr>
      </w:pPr>
      <w:r>
        <w:rPr>
          <w:sz w:val="24"/>
          <w:szCs w:val="24"/>
        </w:rPr>
        <w:t>T</w:t>
      </w:r>
      <w:r w:rsidR="00D71750" w:rsidRPr="00530A3E">
        <w:rPr>
          <w:sz w:val="24"/>
          <w:szCs w:val="24"/>
        </w:rPr>
        <w:t xml:space="preserve">he action or sanction (if any) that the Club intends to take/impose and </w:t>
      </w:r>
    </w:p>
    <w:p w14:paraId="5A4D9938" w14:textId="77777777" w:rsidR="00530A3E" w:rsidRPr="00530A3E" w:rsidRDefault="00530A3E" w:rsidP="00530A3E">
      <w:pPr>
        <w:pStyle w:val="ListParagraph"/>
        <w:rPr>
          <w:sz w:val="24"/>
          <w:szCs w:val="24"/>
        </w:rPr>
      </w:pPr>
    </w:p>
    <w:p w14:paraId="59A5E549" w14:textId="77777777" w:rsidR="00530A3E" w:rsidRDefault="00530A3E" w:rsidP="005D016B">
      <w:pPr>
        <w:pStyle w:val="ListParagraph"/>
        <w:numPr>
          <w:ilvl w:val="0"/>
          <w:numId w:val="7"/>
        </w:numPr>
        <w:spacing w:after="0"/>
        <w:rPr>
          <w:sz w:val="24"/>
          <w:szCs w:val="24"/>
        </w:rPr>
      </w:pPr>
      <w:r>
        <w:rPr>
          <w:sz w:val="24"/>
          <w:szCs w:val="24"/>
        </w:rPr>
        <w:t>T</w:t>
      </w:r>
      <w:r w:rsidR="00D71750" w:rsidRPr="00530A3E">
        <w:rPr>
          <w:sz w:val="24"/>
          <w:szCs w:val="24"/>
        </w:rPr>
        <w:t xml:space="preserve">he respondents right to appeal, including how they can appeal and the timescale for submission of an appeal. </w:t>
      </w:r>
    </w:p>
    <w:p w14:paraId="4C5A004E" w14:textId="77777777" w:rsidR="00530A3E" w:rsidRPr="00530A3E" w:rsidRDefault="00530A3E" w:rsidP="00530A3E">
      <w:pPr>
        <w:pStyle w:val="ListParagraph"/>
        <w:rPr>
          <w:sz w:val="24"/>
          <w:szCs w:val="24"/>
        </w:rPr>
      </w:pPr>
    </w:p>
    <w:p w14:paraId="1CF9C780" w14:textId="1ACCCF2E" w:rsidR="00D71750" w:rsidRDefault="00D71750" w:rsidP="00530A3E">
      <w:pPr>
        <w:pStyle w:val="ListParagraph"/>
        <w:numPr>
          <w:ilvl w:val="0"/>
          <w:numId w:val="8"/>
        </w:numPr>
        <w:spacing w:after="0"/>
        <w:rPr>
          <w:sz w:val="24"/>
          <w:szCs w:val="24"/>
        </w:rPr>
      </w:pPr>
      <w:r w:rsidRPr="00530A3E">
        <w:rPr>
          <w:sz w:val="24"/>
          <w:szCs w:val="24"/>
        </w:rPr>
        <w:t>If the sanction involves the issuing of a warning or suspension, the decision should clearly outline the period that any warning/suspension is to warning is to remain in force, along with the possible consequences of any further misconduct.</w:t>
      </w:r>
    </w:p>
    <w:p w14:paraId="0B279D04" w14:textId="77777777" w:rsidR="003C4B4D" w:rsidRPr="003C4B4D" w:rsidRDefault="003C4B4D" w:rsidP="003C4B4D">
      <w:pPr>
        <w:spacing w:after="0"/>
        <w:rPr>
          <w:sz w:val="24"/>
          <w:szCs w:val="24"/>
        </w:rPr>
      </w:pPr>
    </w:p>
    <w:p w14:paraId="6D45051A" w14:textId="28EDF056" w:rsidR="003C4B4D" w:rsidRPr="003C4B4D" w:rsidRDefault="003C4B4D" w:rsidP="003C4B4D">
      <w:pPr>
        <w:rPr>
          <w:rFonts w:cstheme="minorHAnsi"/>
        </w:rPr>
      </w:pPr>
      <w:r w:rsidRPr="003C4B4D">
        <w:rPr>
          <w:rFonts w:cstheme="minorHAnsi"/>
          <w:b/>
          <w:i/>
        </w:rPr>
        <w:t xml:space="preserve">Updated by Wombourne Kayak Club </w:t>
      </w:r>
      <w:r w:rsidRPr="003C4B4D">
        <w:rPr>
          <w:rFonts w:cstheme="minorHAnsi"/>
          <w:bCs/>
          <w:i/>
        </w:rPr>
        <w:t>1</w:t>
      </w:r>
      <w:r w:rsidR="00A24D1E">
        <w:rPr>
          <w:rFonts w:cstheme="minorHAnsi"/>
          <w:bCs/>
          <w:i/>
        </w:rPr>
        <w:t>2</w:t>
      </w:r>
      <w:r w:rsidRPr="003C4B4D">
        <w:rPr>
          <w:rFonts w:cstheme="minorHAnsi"/>
          <w:bCs/>
        </w:rPr>
        <w:t>/07/2</w:t>
      </w:r>
      <w:r w:rsidR="00A24D1E">
        <w:rPr>
          <w:rFonts w:cstheme="minorHAnsi"/>
          <w:bCs/>
        </w:rPr>
        <w:t>5</w:t>
      </w:r>
      <w:r w:rsidRPr="003C4B4D">
        <w:rPr>
          <w:rFonts w:cstheme="minorHAnsi"/>
          <w:bCs/>
        </w:rPr>
        <w:t xml:space="preserve"> by John Teuwen</w:t>
      </w:r>
    </w:p>
    <w:p w14:paraId="141BC83D" w14:textId="77777777" w:rsidR="000037E7" w:rsidRDefault="000037E7"/>
    <w:sectPr w:rsidR="000037E7" w:rsidSect="00AE64D0">
      <w:headerReference w:type="default" r:id="rId7"/>
      <w:footerReference w:type="default" r:id="rId8"/>
      <w:pgSz w:w="11909" w:h="16834" w:code="9"/>
      <w:pgMar w:top="284" w:right="567" w:bottom="510" w:left="567" w:header="709" w:footer="720"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DA448A" w14:textId="77777777" w:rsidR="00941175" w:rsidRDefault="00941175" w:rsidP="0064725D">
      <w:pPr>
        <w:spacing w:after="0" w:line="240" w:lineRule="auto"/>
      </w:pPr>
      <w:r>
        <w:separator/>
      </w:r>
    </w:p>
  </w:endnote>
  <w:endnote w:type="continuationSeparator" w:id="0">
    <w:p w14:paraId="00E666A8" w14:textId="77777777" w:rsidR="00941175" w:rsidRDefault="00941175" w:rsidP="006472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99938867"/>
      <w:docPartObj>
        <w:docPartGallery w:val="Page Numbers (Bottom of Page)"/>
        <w:docPartUnique/>
      </w:docPartObj>
    </w:sdtPr>
    <w:sdtEndPr>
      <w:rPr>
        <w:noProof/>
      </w:rPr>
    </w:sdtEndPr>
    <w:sdtContent>
      <w:p w14:paraId="307AB134" w14:textId="5BC2E785" w:rsidR="005D016B" w:rsidRDefault="005D016B">
        <w:pPr>
          <w:pStyle w:val="Footer"/>
        </w:pPr>
        <w:r>
          <w:fldChar w:fldCharType="begin"/>
        </w:r>
        <w:r>
          <w:instrText xml:space="preserve"> PAGE   \* MERGEFORMAT </w:instrText>
        </w:r>
        <w:r>
          <w:fldChar w:fldCharType="separate"/>
        </w:r>
        <w:r>
          <w:rPr>
            <w:noProof/>
          </w:rPr>
          <w:t>2</w:t>
        </w:r>
        <w:r>
          <w:rPr>
            <w:noProof/>
          </w:rPr>
          <w:fldChar w:fldCharType="end"/>
        </w:r>
      </w:p>
    </w:sdtContent>
  </w:sdt>
  <w:p w14:paraId="66CD87DF" w14:textId="77777777" w:rsidR="005D016B" w:rsidRDefault="005D016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78CE54" w14:textId="77777777" w:rsidR="00941175" w:rsidRDefault="00941175" w:rsidP="0064725D">
      <w:pPr>
        <w:spacing w:after="0" w:line="240" w:lineRule="auto"/>
      </w:pPr>
      <w:r>
        <w:separator/>
      </w:r>
    </w:p>
  </w:footnote>
  <w:footnote w:type="continuationSeparator" w:id="0">
    <w:p w14:paraId="280EF05A" w14:textId="77777777" w:rsidR="00941175" w:rsidRDefault="00941175" w:rsidP="0064725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AD8943" w14:textId="176659A6" w:rsidR="0064725D" w:rsidRDefault="00A24D1E">
    <w:pPr>
      <w:pStyle w:val="Header"/>
    </w:pPr>
    <w:r>
      <w:rPr>
        <w:noProof/>
      </w:rPr>
      <w:drawing>
        <wp:anchor distT="0" distB="0" distL="114300" distR="114300" simplePos="0" relativeHeight="251662336" behindDoc="0" locked="0" layoutInCell="1" allowOverlap="1" wp14:anchorId="4C89F944" wp14:editId="26A1E4A2">
          <wp:simplePos x="0" y="0"/>
          <wp:positionH relativeFrom="column">
            <wp:posOffset>4907280</wp:posOffset>
          </wp:positionH>
          <wp:positionV relativeFrom="paragraph">
            <wp:posOffset>-278765</wp:posOffset>
          </wp:positionV>
          <wp:extent cx="1914525" cy="762422"/>
          <wp:effectExtent l="0" t="0" r="0" b="0"/>
          <wp:wrapSquare wrapText="bothSides"/>
          <wp:docPr id="451076502"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138073" name="Picture 1" descr="A screenshot of a computer&#10;&#10;AI-generated content may be incorrect."/>
                  <pic:cNvPicPr/>
                </pic:nvPicPr>
                <pic:blipFill rotWithShape="1">
                  <a:blip r:embed="rId1">
                    <a:extLst>
                      <a:ext uri="{28A0092B-C50C-407E-A947-70E740481C1C}">
                        <a14:useLocalDpi xmlns:a14="http://schemas.microsoft.com/office/drawing/2010/main" val="0"/>
                      </a:ext>
                    </a:extLst>
                  </a:blip>
                  <a:srcRect l="52456" t="25733" r="31349" b="62800"/>
                  <a:stretch>
                    <a:fillRect/>
                  </a:stretch>
                </pic:blipFill>
                <pic:spPr bwMode="auto">
                  <a:xfrm>
                    <a:off x="0" y="0"/>
                    <a:ext cx="1914525" cy="76242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83AEE">
      <w:rPr>
        <w:noProof/>
      </w:rPr>
      <w:drawing>
        <wp:anchor distT="0" distB="0" distL="114300" distR="114300" simplePos="0" relativeHeight="251661312" behindDoc="0" locked="0" layoutInCell="1" allowOverlap="1" wp14:anchorId="6451DBF6" wp14:editId="70C6D856">
          <wp:simplePos x="0" y="0"/>
          <wp:positionH relativeFrom="margin">
            <wp:posOffset>3190875</wp:posOffset>
          </wp:positionH>
          <wp:positionV relativeFrom="paragraph">
            <wp:posOffset>-412115</wp:posOffset>
          </wp:positionV>
          <wp:extent cx="828675" cy="745490"/>
          <wp:effectExtent l="0" t="0" r="9525" b="0"/>
          <wp:wrapSquare wrapText="bothSides"/>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828675" cy="745490"/>
                  </a:xfrm>
                  <a:prstGeom prst="rect">
                    <a:avLst/>
                  </a:prstGeom>
                  <a:noFill/>
                  <a:ln>
                    <a:noFill/>
                  </a:ln>
                </pic:spPr>
              </pic:pic>
            </a:graphicData>
          </a:graphic>
          <wp14:sizeRelH relativeFrom="page">
            <wp14:pctWidth>0</wp14:pctWidth>
          </wp14:sizeRelH>
          <wp14:sizeRelV relativeFrom="page">
            <wp14:pctHeight>0</wp14:pctHeight>
          </wp14:sizeRelV>
        </wp:anchor>
      </w:drawing>
    </w:r>
    <w:r w:rsidR="0064725D" w:rsidRPr="00561D10">
      <w:rPr>
        <w:rFonts w:cstheme="minorHAnsi"/>
        <w:b/>
        <w:bCs/>
        <w:noProof/>
      </w:rPr>
      <w:drawing>
        <wp:anchor distT="0" distB="0" distL="114300" distR="114300" simplePos="0" relativeHeight="251659264" behindDoc="0" locked="0" layoutInCell="1" allowOverlap="1" wp14:anchorId="144AC51A" wp14:editId="590C53B3">
          <wp:simplePos x="0" y="0"/>
          <wp:positionH relativeFrom="margin">
            <wp:posOffset>-66410</wp:posOffset>
          </wp:positionH>
          <wp:positionV relativeFrom="paragraph">
            <wp:posOffset>-238760</wp:posOffset>
          </wp:positionV>
          <wp:extent cx="1114559" cy="809280"/>
          <wp:effectExtent l="0" t="0" r="0" b="0"/>
          <wp:wrapSquare wrapText="bothSides"/>
          <wp:docPr id="3" name="Picture 4" descr="A picture containing text&#10;&#10;Description automatically generated"/>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lum/>
                    <a:alphaModFix/>
                  </a:blip>
                  <a:srcRect/>
                  <a:stretch>
                    <a:fillRect/>
                  </a:stretch>
                </pic:blipFill>
                <pic:spPr>
                  <a:xfrm>
                    <a:off x="0" y="0"/>
                    <a:ext cx="1114559" cy="809280"/>
                  </a:xfrm>
                  <a:prstGeom prst="rect">
                    <a:avLst/>
                  </a:prstGeom>
                  <a:noFill/>
                  <a:ln>
                    <a:noFill/>
                  </a:ln>
                </pic:spPr>
              </pic:pic>
            </a:graphicData>
          </a:graphic>
        </wp:anchor>
      </w:drawing>
    </w:r>
  </w:p>
  <w:p w14:paraId="29A9C4A4" w14:textId="77777777" w:rsidR="0064725D" w:rsidRDefault="0064725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D7734"/>
    <w:multiLevelType w:val="hybridMultilevel"/>
    <w:tmpl w:val="D5B4F3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46C25305"/>
    <w:multiLevelType w:val="hybridMultilevel"/>
    <w:tmpl w:val="B6CA066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4C6207BF"/>
    <w:multiLevelType w:val="hybridMultilevel"/>
    <w:tmpl w:val="A4AE3F2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4D806021"/>
    <w:multiLevelType w:val="hybridMultilevel"/>
    <w:tmpl w:val="2C6C76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5056414E"/>
    <w:multiLevelType w:val="hybridMultilevel"/>
    <w:tmpl w:val="88E2CE1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13A4233"/>
    <w:multiLevelType w:val="hybridMultilevel"/>
    <w:tmpl w:val="A5984D0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7BC6379"/>
    <w:multiLevelType w:val="hybridMultilevel"/>
    <w:tmpl w:val="83D2A25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7E264D11"/>
    <w:multiLevelType w:val="hybridMultilevel"/>
    <w:tmpl w:val="69E0208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248925954">
    <w:abstractNumId w:val="1"/>
  </w:num>
  <w:num w:numId="2" w16cid:durableId="1434126112">
    <w:abstractNumId w:val="7"/>
  </w:num>
  <w:num w:numId="3" w16cid:durableId="323826852">
    <w:abstractNumId w:val="6"/>
  </w:num>
  <w:num w:numId="4" w16cid:durableId="1091387287">
    <w:abstractNumId w:val="2"/>
  </w:num>
  <w:num w:numId="5" w16cid:durableId="481697598">
    <w:abstractNumId w:val="3"/>
  </w:num>
  <w:num w:numId="6" w16cid:durableId="1555001156">
    <w:abstractNumId w:val="5"/>
  </w:num>
  <w:num w:numId="7" w16cid:durableId="1136528489">
    <w:abstractNumId w:val="4"/>
  </w:num>
  <w:num w:numId="8" w16cid:durableId="755632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rawingGridVerticalSpacing w:val="163"/>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1750"/>
    <w:rsid w:val="000037E7"/>
    <w:rsid w:val="000C5DE4"/>
    <w:rsid w:val="001607B5"/>
    <w:rsid w:val="003C4B4D"/>
    <w:rsid w:val="003D6C59"/>
    <w:rsid w:val="00530A3E"/>
    <w:rsid w:val="005D016B"/>
    <w:rsid w:val="0064725D"/>
    <w:rsid w:val="007B198A"/>
    <w:rsid w:val="00941175"/>
    <w:rsid w:val="00983AEE"/>
    <w:rsid w:val="00992F88"/>
    <w:rsid w:val="00A24D1E"/>
    <w:rsid w:val="00AE64D0"/>
    <w:rsid w:val="00C34F75"/>
    <w:rsid w:val="00CB1968"/>
    <w:rsid w:val="00D7175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50810A"/>
  <w15:chartTrackingRefBased/>
  <w15:docId w15:val="{7A215D2F-7AD7-4AC4-8AEC-9BB4D8C21A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175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4725D"/>
    <w:pPr>
      <w:tabs>
        <w:tab w:val="center" w:pos="4513"/>
        <w:tab w:val="right" w:pos="9026"/>
      </w:tabs>
      <w:spacing w:after="0" w:line="240" w:lineRule="auto"/>
    </w:pPr>
  </w:style>
  <w:style w:type="character" w:customStyle="1" w:styleId="HeaderChar">
    <w:name w:val="Header Char"/>
    <w:basedOn w:val="DefaultParagraphFont"/>
    <w:link w:val="Header"/>
    <w:uiPriority w:val="99"/>
    <w:rsid w:val="0064725D"/>
  </w:style>
  <w:style w:type="paragraph" w:styleId="Footer">
    <w:name w:val="footer"/>
    <w:basedOn w:val="Normal"/>
    <w:link w:val="FooterChar"/>
    <w:uiPriority w:val="99"/>
    <w:unhideWhenUsed/>
    <w:rsid w:val="0064725D"/>
    <w:pPr>
      <w:tabs>
        <w:tab w:val="center" w:pos="4513"/>
        <w:tab w:val="right" w:pos="9026"/>
      </w:tabs>
      <w:spacing w:after="0" w:line="240" w:lineRule="auto"/>
    </w:pPr>
  </w:style>
  <w:style w:type="character" w:customStyle="1" w:styleId="FooterChar">
    <w:name w:val="Footer Char"/>
    <w:basedOn w:val="DefaultParagraphFont"/>
    <w:link w:val="Footer"/>
    <w:uiPriority w:val="99"/>
    <w:rsid w:val="0064725D"/>
  </w:style>
  <w:style w:type="paragraph" w:styleId="ListParagraph">
    <w:name w:val="List Paragraph"/>
    <w:basedOn w:val="Normal"/>
    <w:uiPriority w:val="34"/>
    <w:qFormat/>
    <w:rsid w:val="0064725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TotalTime>
  <Pages>4</Pages>
  <Words>1277</Words>
  <Characters>7280</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Teuwen</dc:creator>
  <cp:keywords/>
  <dc:description/>
  <cp:lastModifiedBy>John Teuwen</cp:lastModifiedBy>
  <cp:revision>6</cp:revision>
  <dcterms:created xsi:type="dcterms:W3CDTF">2023-11-14T12:59:00Z</dcterms:created>
  <dcterms:modified xsi:type="dcterms:W3CDTF">2025-07-12T16:09:00Z</dcterms:modified>
</cp:coreProperties>
</file>